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21CE677E" w:rsidR="00D6147A" w:rsidRDefault="00E375D7" w:rsidP="00E375D7">
      <w:hyperlink r:id="rId6" w:history="1">
        <w:r w:rsidRPr="00E0674D">
          <w:rPr>
            <w:rStyle w:val="Collegamentoipertestuale"/>
          </w:rPr>
          <w:t>https://www.ilsole24ore.com/art/borse-ciclone-trump-aumenta-incertezze-banche-protagoniste-anche-2025-AGcc9ksC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75BA"/>
    <w:rsid w:val="00282E80"/>
    <w:rsid w:val="002905A8"/>
    <w:rsid w:val="00290B3F"/>
    <w:rsid w:val="0029350F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B75"/>
    <w:rsid w:val="00377CC8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4E4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D7409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6359"/>
    <w:rsid w:val="00DB2300"/>
    <w:rsid w:val="00DB55E2"/>
    <w:rsid w:val="00DC51AD"/>
    <w:rsid w:val="00DC639A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7582"/>
    <w:rsid w:val="00E3138D"/>
    <w:rsid w:val="00E375D7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sole24ore.com/art/borse-ciclone-trump-aumenta-incertezze-banche-protagoniste-anche-2025-AGcc9ks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2025-02-18T08:20:00Z</dcterms:created>
  <dcterms:modified xsi:type="dcterms:W3CDTF">2025-02-18T08:38:00Z</dcterms:modified>
</cp:coreProperties>
</file>